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УТВЕРЖДАЮ: 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Директор МБУ «КЦСОН Болотнинского 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района НСО»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2B67B1" w:rsidRDefault="002B67B1" w:rsidP="002B67B1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</w:rPr>
        <w:t>________________________В.Н.Захаров</w:t>
      </w:r>
      <w:proofErr w:type="spellEnd"/>
    </w:p>
    <w:p w:rsidR="002B67B1" w:rsidRDefault="002B67B1" w:rsidP="002B67B1">
      <w:pPr>
        <w:pStyle w:val="ConsPlusTitle"/>
        <w:jc w:val="center"/>
      </w:pPr>
    </w:p>
    <w:p w:rsidR="00A86444" w:rsidRDefault="00A86444" w:rsidP="002B67B1">
      <w:pPr>
        <w:pStyle w:val="ConsPlusTitle"/>
        <w:jc w:val="center"/>
      </w:pPr>
    </w:p>
    <w:p w:rsidR="00A86444" w:rsidRDefault="00A86444" w:rsidP="002B67B1">
      <w:pPr>
        <w:pStyle w:val="ConsPlusTitle"/>
        <w:jc w:val="center"/>
      </w:pPr>
    </w:p>
    <w:p w:rsidR="00B41092" w:rsidRPr="00B41092" w:rsidRDefault="00A86444" w:rsidP="002B6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09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B4109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41092">
        <w:rPr>
          <w:rFonts w:ascii="Times New Roman" w:hAnsi="Times New Roman" w:cs="Times New Roman"/>
          <w:sz w:val="28"/>
          <w:szCs w:val="28"/>
        </w:rPr>
        <w:t xml:space="preserve"> труда: </w:t>
      </w:r>
    </w:p>
    <w:p w:rsidR="002B67B1" w:rsidRPr="00B41092" w:rsidRDefault="00A86444" w:rsidP="002B6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092">
        <w:rPr>
          <w:rFonts w:ascii="Times New Roman" w:hAnsi="Times New Roman" w:cs="Times New Roman"/>
          <w:sz w:val="28"/>
          <w:szCs w:val="28"/>
        </w:rPr>
        <w:t xml:space="preserve">«Общие вопросы охраны труда и функционирования системы управления охраной труда в МБУ «КЦСОН Болотнинского района НСО» </w:t>
      </w:r>
    </w:p>
    <w:p w:rsidR="00A86444" w:rsidRPr="00B41092" w:rsidRDefault="00A86444" w:rsidP="002B6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444" w:rsidRDefault="00A86444" w:rsidP="002B67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444" w:rsidRDefault="00A86444" w:rsidP="002B67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444" w:rsidRPr="00B41092" w:rsidRDefault="00A86444" w:rsidP="00A86444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B41092">
        <w:rPr>
          <w:b/>
          <w:sz w:val="28"/>
          <w:szCs w:val="28"/>
        </w:rPr>
        <w:t>1. ОБЩИЕ ПОЛОЖЕНИЯ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A86444">
        <w:t>1</w:t>
      </w:r>
      <w:r w:rsidRPr="00B41092">
        <w:t xml:space="preserve">.1. Программа </w:t>
      </w:r>
      <w:proofErr w:type="gramStart"/>
      <w:r w:rsidRPr="00B41092">
        <w:t>обучения по</w:t>
      </w:r>
      <w:proofErr w:type="gramEnd"/>
      <w:r w:rsidRPr="00B41092">
        <w:t xml:space="preserve"> общим вопросам охраны труда и функционирования системы управления охраной труда в целях обучения требованиям охраны труда разработана, в частности, в соответствии: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с Трудовым </w:t>
      </w:r>
      <w:hyperlink r:id="rId5" w:history="1">
        <w:r w:rsidRPr="00B41092">
          <w:t>кодексом</w:t>
        </w:r>
      </w:hyperlink>
      <w:r w:rsidRPr="00B41092">
        <w:t xml:space="preserve"> РФ;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Федеральным </w:t>
      </w:r>
      <w:hyperlink r:id="rId6" w:history="1">
        <w:r w:rsidRPr="00B41092">
          <w:t>законом</w:t>
        </w:r>
      </w:hyperlink>
      <w:r w:rsidRPr="00B41092">
        <w:t xml:space="preserve"> от 28.12.2013 N 426-ФЗ "О специальной оценке условий труда";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7" w:history="1">
        <w:r w:rsidRPr="00B41092">
          <w:t>Правилами</w:t>
        </w:r>
      </w:hyperlink>
      <w:r w:rsidRPr="00B41092">
        <w:t xml:space="preserve"> </w:t>
      </w:r>
      <w:proofErr w:type="gramStart"/>
      <w:r w:rsidRPr="00B41092">
        <w:t>обучения по охране</w:t>
      </w:r>
      <w:proofErr w:type="gramEnd"/>
      <w:r w:rsidRPr="00B41092">
        <w:t xml:space="preserve"> труда и проверки знания требований охраны труда (утв. Постановлением Правительства РФ от 24.12.2021 N 2464);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Примерным </w:t>
      </w:r>
      <w:hyperlink r:id="rId8" w:history="1">
        <w:r w:rsidRPr="00B41092">
          <w:t>положением</w:t>
        </w:r>
      </w:hyperlink>
      <w:r w:rsidRPr="00B41092">
        <w:t xml:space="preserve"> о системе управления охраной труда (утв. Приказом Минтруда России от 29.10.2021 N 776н);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9" w:history="1">
        <w:r w:rsidRPr="00B41092">
          <w:t>Рекомендациями</w:t>
        </w:r>
      </w:hyperlink>
      <w:r w:rsidRPr="00B41092">
        <w:t xml:space="preserve"> по выбору методов оценки уровней профессиональных рисков и по снижению уровней таких рисков (утв. Приказом Минтруда России от 28.12.2021 N 926);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0" w:history="1">
        <w:r w:rsidRPr="00B41092">
          <w:t>Положением</w:t>
        </w:r>
      </w:hyperlink>
      <w:r w:rsidRPr="00B41092">
        <w:t xml:space="preserve"> об особенностях расследования несчастных случаев на производстве в отдельных отраслях и организациях, </w:t>
      </w:r>
      <w:hyperlink r:id="rId11" w:history="1">
        <w:r w:rsidRPr="00B41092">
          <w:t>формами</w:t>
        </w:r>
      </w:hyperlink>
      <w:r w:rsidRPr="00B41092">
        <w:t xml:space="preserve"> документов, соответствующими </w:t>
      </w:r>
      <w:hyperlink r:id="rId12" w:history="1">
        <w:r w:rsidRPr="00B41092">
          <w:t>Классификаторами</w:t>
        </w:r>
      </w:hyperlink>
      <w:r w:rsidRPr="00B41092">
        <w:t>, необходимыми для расследования несчастных случаев на производстве (утв. Приказом Минтруда России от 20.04.2022 N 223н);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3" w:history="1">
        <w:r w:rsidRPr="00B41092">
          <w:t>Рекомендациями</w:t>
        </w:r>
      </w:hyperlink>
      <w:r w:rsidRPr="00B41092">
        <w:t xml:space="preserve"> по учету микроповреждений (микротравм) работников (утв. Приказом Минтруда России от 15.09.2021 N 632н);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4" w:history="1">
        <w:r w:rsidRPr="00B41092">
          <w:t>Формами</w:t>
        </w:r>
      </w:hyperlink>
      <w:r w:rsidRPr="00B41092">
        <w:t xml:space="preserve"> (способами) информирования работников об их трудовых правах, включая право на безопасные условия и охрану труда, и Примерным </w:t>
      </w:r>
      <w:hyperlink r:id="rId15" w:history="1">
        <w:r w:rsidRPr="00B41092">
          <w:t>перечнем</w:t>
        </w:r>
      </w:hyperlink>
      <w:r w:rsidRPr="00B41092">
        <w:t xml:space="preserve"> информационных материалов в целях информирования работников об их трудовых правах, включая право на безопасные условия и охрану труда (утв. Приказом </w:t>
      </w:r>
      <w:r w:rsidRPr="00B41092">
        <w:lastRenderedPageBreak/>
        <w:t>Минтруда России от 29.10.2021 N 773н);</w:t>
      </w:r>
    </w:p>
    <w:p w:rsidR="00A86444" w:rsidRPr="00B41092" w:rsidRDefault="00A86444" w:rsidP="00A86444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6" w:history="1">
        <w:r w:rsidRPr="00B41092">
          <w:t>Рекомендациями</w:t>
        </w:r>
      </w:hyperlink>
      <w:r w:rsidRPr="00B41092"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 (утв. Приказом Минтруда России от 17.12.2021 N 894).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1.2. Программа обучения содержит тематический план учебных занятий и рассчитана на </w:t>
      </w:r>
      <w:hyperlink r:id="rId17" w:history="1">
        <w:r w:rsidRPr="00B41092">
          <w:t>16 часов</w:t>
        </w:r>
      </w:hyperlink>
      <w:r w:rsidRPr="00B41092">
        <w:t>, из которых 1 час отводятся на проверку знания требований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Выполнение практических занятий программой обучения не предусмотрено.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1.3. Форма обучения - очная, без отрыва от работы.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Форма проверки знания требований охраны труда - тестирование.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1.4. Средства обучения: наглядные учебные материалы, нормативные правовые акты и локальные нормативные акты по охране труда, электронные носители информации с возможностью ауди</w:t>
      </w:r>
      <w:proofErr w:type="gramStart"/>
      <w:r w:rsidRPr="00B41092">
        <w:t>о-</w:t>
      </w:r>
      <w:proofErr w:type="gramEnd"/>
      <w:r w:rsidRPr="00B41092">
        <w:t xml:space="preserve"> и </w:t>
      </w:r>
      <w:proofErr w:type="spellStart"/>
      <w:r w:rsidRPr="00B41092">
        <w:t>видеовоспроизведения</w:t>
      </w:r>
      <w:proofErr w:type="spellEnd"/>
      <w:r w:rsidRPr="00B41092">
        <w:t>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1.5. Цель обучения: получение работниками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1.6. Результат обучения: допуск к самостоятельному выполнению трудовых обязанностей работников, которые показали удовлетворительные знания требований охраны труда после обучения требованиям охраны труда в соответствии с настоящей программой. Отстранение от работы (</w:t>
      </w:r>
      <w:proofErr w:type="spellStart"/>
      <w:r w:rsidRPr="00B41092">
        <w:t>недопуск</w:t>
      </w:r>
      <w:proofErr w:type="spellEnd"/>
      <w:r w:rsidRPr="00B41092">
        <w:t xml:space="preserve"> к ней) работников, показавших в рамках проверки неудовлетворительные знания. Повторная проверка знания требований охраны труда у таких работников проводится в течение 30 календарных дней со дня проведения проверки.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1.7. Сведения об обучении, перечисленные в </w:t>
      </w:r>
      <w:hyperlink r:id="rId18" w:history="1">
        <w:proofErr w:type="spellStart"/>
        <w:r w:rsidRPr="00B41092">
          <w:t>пп</w:t>
        </w:r>
        <w:proofErr w:type="spellEnd"/>
        <w:r w:rsidRPr="00B41092">
          <w:t>. "б" п. 118</w:t>
        </w:r>
      </w:hyperlink>
      <w:r w:rsidRPr="00B41092">
        <w:t xml:space="preserve"> Правил обучения по охране труда и проверки знания требований охраны труда (утв. Постановлением Правительства РФ от 24.12.2021 N 2464), передаются в реестр обученных по охране труда лиц после проверки знания требований охраны труда.</w:t>
      </w:r>
    </w:p>
    <w:p w:rsidR="00A86444" w:rsidRDefault="00A86444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Pr="00B41092" w:rsidRDefault="00B41092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B41092">
        <w:rPr>
          <w:b/>
          <w:bCs/>
          <w:sz w:val="28"/>
          <w:szCs w:val="28"/>
        </w:rPr>
        <w:t>ТЕМАТИЧЕСКИЙ ПЛАН УЧЕБНЫХ ЗАНЯТИЙ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  <w:rPr>
          <w:sz w:val="28"/>
          <w:szCs w:val="28"/>
        </w:rPr>
      </w:pPr>
      <w:r w:rsidRPr="00B41092">
        <w:rPr>
          <w:b/>
          <w:bCs/>
          <w:sz w:val="28"/>
          <w:szCs w:val="28"/>
        </w:rPr>
        <w:t>Тема 1. Основы охраны труда в Российской Федерации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Количество часов, отведенных на изучение темы, - 3 часа.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1.1. Перечень изучаемых вопросов.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1.1.1. Основные понятия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1.1.2. Нормативно-правовые основы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1.1.3. Права и обязанности работодателя и работника в области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1.1.4.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1.1.5. Социальное партнерство в сфере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1.2. Краткое содержание темы.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1.2.1. Понятия </w:t>
      </w:r>
      <w:hyperlink r:id="rId19" w:history="1">
        <w:r w:rsidRPr="00B41092">
          <w:t>"охрана труда"</w:t>
        </w:r>
      </w:hyperlink>
      <w:r w:rsidRPr="00B41092">
        <w:t xml:space="preserve">, </w:t>
      </w:r>
      <w:hyperlink r:id="rId20" w:history="1">
        <w:r w:rsidRPr="00B41092">
          <w:t>"условия труда"</w:t>
        </w:r>
      </w:hyperlink>
      <w:r w:rsidRPr="00B41092">
        <w:t xml:space="preserve">, </w:t>
      </w:r>
      <w:hyperlink r:id="rId21" w:history="1">
        <w:r w:rsidRPr="00B41092">
          <w:t>"требования охраны труда"</w:t>
        </w:r>
      </w:hyperlink>
      <w:r w:rsidRPr="00B41092">
        <w:t xml:space="preserve"> и др. </w:t>
      </w:r>
      <w:hyperlink r:id="rId22" w:history="1">
        <w:r w:rsidRPr="00B41092">
          <w:t>Основные принципы</w:t>
        </w:r>
      </w:hyperlink>
      <w:r w:rsidRPr="00B41092">
        <w:t xml:space="preserve"> обеспечения безопасности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1.2.2. Нормативно-правовые основы охраны труда: Трудовой </w:t>
      </w:r>
      <w:hyperlink r:id="rId23" w:history="1">
        <w:r w:rsidRPr="00B41092">
          <w:t>кодекс</w:t>
        </w:r>
      </w:hyperlink>
      <w:r w:rsidRPr="00B41092">
        <w:t xml:space="preserve"> РФ, </w:t>
      </w:r>
      <w:hyperlink r:id="rId24" w:history="1">
        <w:r w:rsidRPr="00B41092">
          <w:t>Кодекс</w:t>
        </w:r>
      </w:hyperlink>
      <w:r w:rsidRPr="00B41092">
        <w:t xml:space="preserve"> РФ об административных правонарушениях, Уголовный </w:t>
      </w:r>
      <w:hyperlink r:id="rId25" w:history="1">
        <w:r w:rsidRPr="00B41092">
          <w:t>кодекс</w:t>
        </w:r>
      </w:hyperlink>
      <w:r w:rsidRPr="00B41092">
        <w:t xml:space="preserve"> РФ, Федеральный </w:t>
      </w:r>
      <w:hyperlink r:id="rId26" w:history="1">
        <w:r w:rsidRPr="00B41092">
          <w:t>закон</w:t>
        </w:r>
      </w:hyperlink>
      <w:r w:rsidRPr="00B41092">
        <w:t xml:space="preserve"> от 24.07.1998 N 125-ФЗ "Об обязательном социальном страховании от несчастных случаев на производстве и профессиональных заболеваний", иные нормативные правовые акты, в том числе содержащие государственные нормативные требования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1.2.3. Обязанность работодателя по обеспечению безопасных условий и охраны труда. Запрет на работу в опасных условиях труда. Права работодателя в области охраны труда. Права и обязанности работника в области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1.2.4. Федеральная </w:t>
      </w:r>
      <w:hyperlink r:id="rId27" w:history="1">
        <w:r w:rsidRPr="00B41092">
          <w:t>инспекция</w:t>
        </w:r>
      </w:hyperlink>
      <w:r w:rsidRPr="00B41092">
        <w:t xml:space="preserve"> труда и ее основные полномочия. Права и обязанности государственных инспекторов труда. Государственная экспертиза условий труда. Ответственность за нарушение трудового законодательства и иных нормативных правовых актов, содержащих нормы трудового права.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1.2.5. Основные принципы социального партнерства, его стороны. Представители работников и работодателей в социальном партнерстве. Комитеты (комиссии) по охране труда. Уполномоченные (доверенные) лица по охране труда профессиональных союзов. Коллективный договор. Ответственность сторон социального партнерства.</w:t>
      </w:r>
    </w:p>
    <w:p w:rsidR="00A86444" w:rsidRDefault="00A86444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Pr="00B41092" w:rsidRDefault="00B41092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  <w:rPr>
          <w:sz w:val="28"/>
          <w:szCs w:val="28"/>
        </w:rPr>
      </w:pPr>
      <w:r w:rsidRPr="00B41092">
        <w:rPr>
          <w:b/>
          <w:bCs/>
          <w:sz w:val="28"/>
          <w:szCs w:val="28"/>
        </w:rPr>
        <w:t>Тема 2. Система управления охраной труда в организации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Количество часов, отведенных на изучение темы, - 9 часов.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2.1. Перечень изучаемых вопросов.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2.1.1. Обеспечение функционирования системы управления охраной труда </w:t>
      </w:r>
      <w:hyperlink r:id="rId28" w:history="1">
        <w:r w:rsidRPr="00B41092">
          <w:t>(СУОТ)</w:t>
        </w:r>
      </w:hyperlink>
      <w:r w:rsidRPr="00B41092">
        <w:t xml:space="preserve"> в организации. Управление документами. Информирование работников об условиях и охране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2.1.2. Специальная оценка условий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2.1.3. Управление профессиональными рисками.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2.1.4. </w:t>
      </w:r>
      <w:proofErr w:type="gramStart"/>
      <w:r w:rsidRPr="00B41092">
        <w:t>Обучение работников по охране</w:t>
      </w:r>
      <w:proofErr w:type="gramEnd"/>
      <w:r w:rsidRPr="00B41092">
        <w:t xml:space="preserve">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2.1.5. Обеспечение работников средствами индивидуальной защиты (</w:t>
      </w:r>
      <w:proofErr w:type="gramStart"/>
      <w:r w:rsidRPr="00B41092">
        <w:t>СИЗ</w:t>
      </w:r>
      <w:proofErr w:type="gramEnd"/>
      <w:r w:rsidRPr="00B41092">
        <w:t>), смывающими средствами.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2.1.6. Обеспечение гарантий и компенсаций работникам, в том числе женщинам, лицам в возрасте до 18 лет, работникам-инвалидам.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2.1.7. Обеспечение наблюдения за состоянием здоровья работников.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2.1.8. Обеспечение санитарно-бытового обслуживания.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2.1.9. Обеспечение оптимальных режимов труда и отдыха работников.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2.1.10. Обеспечение безопасного выполнения подрядных работ. Соответствие зданий, сооружений, оборудования, технологических процессов и материалов государственным нормативным требованиям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2.2. Краткое содержание темы.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2.2.1. Структура и порядок функционирования СУОТ в организации. Политика (стратегия) по охране труда. Порядок разработки, утверждения и пересмотра документов СУОТ и сроки их хранения. Порядок размещения информационных материалов в целях информирования работников об их трудовых правах, включая право на безопасные условия и охрану труда. Формы (способы) информирования работников об их трудовых правах. Планирование и финансирование мероприятий по улучшению условий и охраны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2.2.2. Порядок проведения специальной оценки условий труда. Вредные и (или) опасные </w:t>
      </w:r>
      <w:hyperlink r:id="rId29" w:history="1">
        <w:r w:rsidRPr="00B41092">
          <w:t>факторы</w:t>
        </w:r>
      </w:hyperlink>
      <w:r w:rsidRPr="00B41092">
        <w:t xml:space="preserve"> производственной среды и трудового процесса, подлежащие исследованию (испытанию) и измерению при ее проведении. Применение </w:t>
      </w:r>
      <w:proofErr w:type="gramStart"/>
      <w:r w:rsidRPr="00B41092">
        <w:t>результатов проведения специальной оценки условий труда</w:t>
      </w:r>
      <w:proofErr w:type="gramEnd"/>
      <w:r w:rsidRPr="00B41092">
        <w:t>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2.2.3. Мероприятия по управлению профессиональными рисками на рабочих местах, связанные с выявлением опасностей, оценкой и снижением уровней таких рисков. Методы, применяемые для оценки профессиональных рисков. План мероприятий по </w:t>
      </w:r>
      <w:r w:rsidRPr="00B41092">
        <w:lastRenderedPageBreak/>
        <w:t>управлению профессиональными рисками.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2.2.4. </w:t>
      </w:r>
      <w:hyperlink r:id="rId30" w:history="1">
        <w:r w:rsidRPr="00B41092">
          <w:t>Виды</w:t>
        </w:r>
      </w:hyperlink>
      <w:r w:rsidRPr="00B41092">
        <w:t xml:space="preserve"> </w:t>
      </w:r>
      <w:proofErr w:type="gramStart"/>
      <w:r w:rsidRPr="00B41092">
        <w:t>обучения по охране</w:t>
      </w:r>
      <w:proofErr w:type="gramEnd"/>
      <w:r w:rsidRPr="00B41092">
        <w:t xml:space="preserve"> труда. Организация и проведение </w:t>
      </w:r>
      <w:proofErr w:type="gramStart"/>
      <w:r w:rsidRPr="00B41092">
        <w:t>обучения по охране</w:t>
      </w:r>
      <w:proofErr w:type="gramEnd"/>
      <w:r w:rsidRPr="00B41092">
        <w:t xml:space="preserve"> труда у работодателя, а также в организации, у индивидуального предпринимателя, оказывающих услуги по обучению работодателей и работников вопросам охраны труда. Проверка знания требований охраны труда. Документы, в которых регистрируется проведение </w:t>
      </w:r>
      <w:proofErr w:type="gramStart"/>
      <w:r w:rsidRPr="00B41092">
        <w:t>обучения по охране</w:t>
      </w:r>
      <w:proofErr w:type="gramEnd"/>
      <w:r w:rsidRPr="00B41092">
        <w:t xml:space="preserve">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2.2.5. Нормы и порядок бесплатной выдачи работникам СИЗ и смывающих средств. Организация хранения </w:t>
      </w:r>
      <w:proofErr w:type="gramStart"/>
      <w:r w:rsidRPr="00B41092">
        <w:t>СИЗ</w:t>
      </w:r>
      <w:proofErr w:type="gramEnd"/>
      <w:r w:rsidRPr="00B41092">
        <w:t xml:space="preserve">, их стирки, ремонта и т.п. Учет и </w:t>
      </w:r>
      <w:proofErr w:type="gramStart"/>
      <w:r w:rsidRPr="00B41092">
        <w:t>контроль за</w:t>
      </w:r>
      <w:proofErr w:type="gramEnd"/>
      <w:r w:rsidRPr="00B41092">
        <w:t xml:space="preserve"> выдачей СИЗ.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2.2.6. Гарантии и компенсации за работу с вредными и (или) опасными условиями труда. Порядок </w:t>
      </w:r>
      <w:hyperlink r:id="rId31" w:history="1">
        <w:r w:rsidRPr="00B41092">
          <w:t>обеспечения</w:t>
        </w:r>
      </w:hyperlink>
      <w:r w:rsidRPr="00B41092">
        <w:t xml:space="preserve"> работников молоком или другими равноценными пищевыми продуктами, лечебно-профилактическим питанием. Переводы на другую работу, отпуска, перерывы для кормления ребенка и другие гарантии, предоставляемые женщинам, лицам с семейными обязанностями. Особенности регулирования труда работников моложе 18 лет. </w:t>
      </w:r>
      <w:hyperlink r:id="rId32" w:history="1">
        <w:r w:rsidRPr="00B41092">
          <w:t>Обязанность</w:t>
        </w:r>
      </w:hyperlink>
      <w:r w:rsidRPr="00B41092">
        <w:t xml:space="preserve"> создать для работников-инвалидов условия труда, в том числе производственные и санитарно-бытовые, в соответствии с индивидуальной программой реабилитации или </w:t>
      </w:r>
      <w:proofErr w:type="spellStart"/>
      <w:r w:rsidRPr="00B41092">
        <w:t>абилитации</w:t>
      </w:r>
      <w:proofErr w:type="spellEnd"/>
      <w:r w:rsidRPr="00B41092">
        <w:t xml:space="preserve"> инвалида.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2.2.7. Медицинские </w:t>
      </w:r>
      <w:hyperlink r:id="rId33" w:history="1">
        <w:r w:rsidRPr="00B41092">
          <w:t>осмотры</w:t>
        </w:r>
      </w:hyperlink>
      <w:r w:rsidRPr="00B41092">
        <w:t xml:space="preserve"> некоторых категорий работников: обязательные предварительные (при приеме на работу) и периодические (в течение трудовой деятельности), другие виды обязательных медицинских осмотров. Химико-токсикологические исследования наличия в организме человека наркотических средств, психотропных веществ и их метаболитов, а также проведение психофизиологических обследований. Психиатрические освидетельствования работников.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2.2.8. Требования к оборудованию санитарно-бытовых помещений. Помещения для приема пищи. Посты для оказания первой помощи, укомплектованные аптечками для оказания первой помощи. </w:t>
      </w:r>
      <w:hyperlink r:id="rId34" w:history="1">
        <w:r w:rsidRPr="00B41092">
          <w:t>Обязанность</w:t>
        </w:r>
      </w:hyperlink>
      <w:r w:rsidRPr="00B41092">
        <w:t xml:space="preserve"> доставить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2.2.9. Установление </w:t>
      </w:r>
      <w:hyperlink r:id="rId35" w:history="1">
        <w:r w:rsidRPr="00B41092">
          <w:t>нормальной</w:t>
        </w:r>
      </w:hyperlink>
      <w:r w:rsidRPr="00B41092">
        <w:t xml:space="preserve">, </w:t>
      </w:r>
      <w:hyperlink r:id="rId36" w:history="1">
        <w:r w:rsidRPr="00B41092">
          <w:t>сокращенной</w:t>
        </w:r>
      </w:hyperlink>
      <w:r w:rsidRPr="00B41092">
        <w:t xml:space="preserve"> (для отдельных категорий работников) продолжительности рабочего времени. </w:t>
      </w:r>
      <w:hyperlink r:id="rId37" w:history="1">
        <w:r w:rsidRPr="00B41092">
          <w:t>Неполное</w:t>
        </w:r>
      </w:hyperlink>
      <w:r w:rsidRPr="00B41092">
        <w:t xml:space="preserve"> рабочее время. Режимы рабочего времени и его учет. Предоставление </w:t>
      </w:r>
      <w:hyperlink r:id="rId38" w:history="1">
        <w:r w:rsidRPr="00B41092">
          <w:t>времени отдыха</w:t>
        </w:r>
      </w:hyperlink>
      <w:r w:rsidRPr="00B41092">
        <w:t>, включая выходные дни, нерабочие праздничные дни, отпуска.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2.2.10. Порядок нахождения на объектах работодателя и перемещения по ним лиц, присутствующих на территории, в зданиях и сооружениях работодателя. </w:t>
      </w:r>
      <w:hyperlink r:id="rId39" w:history="1">
        <w:r w:rsidRPr="00B41092">
          <w:t>Условия</w:t>
        </w:r>
      </w:hyperlink>
      <w:r w:rsidRPr="00B41092">
        <w:t xml:space="preserve"> о безопасности, которые необходимо включать в договоры на выполнение подрядных работ.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hyperlink r:id="rId40" w:history="1">
        <w:proofErr w:type="gramStart"/>
        <w:r w:rsidRPr="00B41092">
          <w:t>Запрет</w:t>
        </w:r>
      </w:hyperlink>
      <w:r w:rsidRPr="00B41092">
        <w:t xml:space="preserve"> на применение в производстве вредных и (или) опасных веществ, материалов, продукции, товаров, если не проводилась их токсикологическая (санитарно-гигиеническая, медико-биологическая) оценка.</w:t>
      </w:r>
      <w:proofErr w:type="gramEnd"/>
      <w:r w:rsidRPr="00B41092">
        <w:t xml:space="preserve"> Требования, предъявляемые к машинам, механизмам (другому производственному оборудованию), транспортным средствам, технологическим процессам, материалам и химическим веществам, средствам индивидуальной и коллективной защиты работников, в том числе иностранного производства.</w:t>
      </w:r>
    </w:p>
    <w:p w:rsidR="00A86444" w:rsidRDefault="00A86444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Default="00B41092" w:rsidP="00A86444">
      <w:pPr>
        <w:pStyle w:val="ConsPlusNormal"/>
        <w:spacing w:line="360" w:lineRule="auto"/>
        <w:jc w:val="both"/>
      </w:pPr>
    </w:p>
    <w:p w:rsidR="00B41092" w:rsidRPr="00B41092" w:rsidRDefault="00B41092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  <w:rPr>
          <w:sz w:val="28"/>
          <w:szCs w:val="28"/>
        </w:rPr>
      </w:pPr>
      <w:r w:rsidRPr="00B41092">
        <w:rPr>
          <w:b/>
          <w:bCs/>
          <w:sz w:val="28"/>
          <w:szCs w:val="28"/>
        </w:rPr>
        <w:lastRenderedPageBreak/>
        <w:t>Тема 3. Расследование, оформление (рассмотрение), учет микроповреждений (микротравм), несчастных случаев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Количество часов, отведенных на изучение темы, - 2 часа.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3.1. Перечень изучаемых вопросов</w:t>
      </w:r>
      <w:r w:rsidRPr="00B41092">
        <w:t>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3.1.1. Микроповреждения (микротравмы) и их учет.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3.1.2. Порядок расследования несчастных случаев.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3.1.3. Обязательное социальное страхование работников от несчастных случаев на производстве и профессиональных заболеваний.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>3.1.4. Организация и проведение внутреннего аудита безопасности труда.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rPr>
          <w:b/>
          <w:bCs/>
        </w:rPr>
        <w:t>3.2. Краткое содержание темы.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3.2.1. Понятие </w:t>
      </w:r>
      <w:hyperlink r:id="rId41" w:history="1">
        <w:r w:rsidRPr="00B41092">
          <w:t>"микроповреждение (микротравма)"</w:t>
        </w:r>
      </w:hyperlink>
      <w:r w:rsidRPr="00B41092">
        <w:t>. Действия работника при получении микроповреждения (микротравмы). Порядок учета и рассмотрения обстоятельств и причин, приведших к возникновению микроповреждений (микротравм) работников.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3.2.2. Несчастные случаи, </w:t>
      </w:r>
      <w:hyperlink r:id="rId42" w:history="1">
        <w:r w:rsidRPr="00B41092">
          <w:t>подлежащие</w:t>
        </w:r>
      </w:hyperlink>
      <w:r w:rsidRPr="00B41092">
        <w:t xml:space="preserve"> расследованию и учету. </w:t>
      </w:r>
      <w:hyperlink r:id="rId43" w:history="1">
        <w:r w:rsidRPr="00B41092">
          <w:t>Порядок</w:t>
        </w:r>
      </w:hyperlink>
      <w:r w:rsidRPr="00B41092">
        <w:t xml:space="preserve"> формирования комиссий по расследованию несчастных случаев, проведение расследования. Формы документов, необходимых для расследования несчастных случаев на производстве. Регистрация и учет несчастных случаев на производстве.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  <w:r w:rsidRPr="00B41092">
        <w:t xml:space="preserve">3.2.3. </w:t>
      </w:r>
      <w:hyperlink r:id="rId44" w:history="1">
        <w:r w:rsidRPr="00B41092">
          <w:t>Обязанность</w:t>
        </w:r>
      </w:hyperlink>
      <w:r w:rsidRPr="00B41092">
        <w:t xml:space="preserve"> работодателя по обеспечению обязательного социального страхования от несчастных случаев на производстве и профессиональных заболеваний. Обеспечение по социальному страхованию и порядок его получения.</w:t>
      </w:r>
    </w:p>
    <w:p w:rsidR="00A86444" w:rsidRPr="00B41092" w:rsidRDefault="00A86444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</w:pPr>
    </w:p>
    <w:p w:rsidR="00A86444" w:rsidRPr="00B41092" w:rsidRDefault="00A86444" w:rsidP="00A86444">
      <w:pPr>
        <w:pStyle w:val="ConsPlusNormal"/>
        <w:spacing w:line="360" w:lineRule="auto"/>
        <w:jc w:val="both"/>
      </w:pPr>
    </w:p>
    <w:sectPr w:rsidR="00A86444" w:rsidRPr="00B41092" w:rsidSect="004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7B1"/>
    <w:rsid w:val="00074E4A"/>
    <w:rsid w:val="002B67B1"/>
    <w:rsid w:val="00477F2A"/>
    <w:rsid w:val="00827E3E"/>
    <w:rsid w:val="008F3EB8"/>
    <w:rsid w:val="009466AF"/>
    <w:rsid w:val="00A86444"/>
    <w:rsid w:val="00B34076"/>
    <w:rsid w:val="00B41092"/>
    <w:rsid w:val="00BB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B6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335&amp;date=21.06.2023&amp;dst=100011&amp;field=134" TargetMode="External"/><Relationship Id="rId13" Type="http://schemas.openxmlformats.org/officeDocument/2006/relationships/hyperlink" Target="https://login.consultant.ru/link/?req=doc&amp;base=LAW&amp;n=407362&amp;date=21.06.2023&amp;dst=100010&amp;field=134" TargetMode="External"/><Relationship Id="rId18" Type="http://schemas.openxmlformats.org/officeDocument/2006/relationships/hyperlink" Target="https://login.consultant.ru/link/?req=doc&amp;base=LAW&amp;n=405174&amp;date=21.06.2023&amp;dst=100258&amp;field=134" TargetMode="External"/><Relationship Id="rId26" Type="http://schemas.openxmlformats.org/officeDocument/2006/relationships/hyperlink" Target="https://login.consultant.ru/link/?req=doc&amp;base=LAW&amp;n=443760&amp;date=21.06.2023" TargetMode="External"/><Relationship Id="rId39" Type="http://schemas.openxmlformats.org/officeDocument/2006/relationships/hyperlink" Target="https://login.consultant.ru/link/?req=doc&amp;base=LAW&amp;n=403335&amp;date=21.06.2023&amp;dst=10002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555&amp;date=21.06.2023&amp;dst=2536&amp;field=134" TargetMode="External"/><Relationship Id="rId34" Type="http://schemas.openxmlformats.org/officeDocument/2006/relationships/hyperlink" Target="https://login.consultant.ru/link/?req=doc&amp;base=LAW&amp;n=449555&amp;date=21.06.2023&amp;dst=2661&amp;field=134" TargetMode="External"/><Relationship Id="rId42" Type="http://schemas.openxmlformats.org/officeDocument/2006/relationships/hyperlink" Target="https://login.consultant.ru/link/?req=doc&amp;base=LAW&amp;n=449555&amp;date=21.06.2023&amp;dst=2805&amp;field=134" TargetMode="External"/><Relationship Id="rId7" Type="http://schemas.openxmlformats.org/officeDocument/2006/relationships/hyperlink" Target="https://login.consultant.ru/link/?req=doc&amp;base=LAW&amp;n=405174&amp;date=21.06.2023&amp;dst=100019&amp;field=134" TargetMode="External"/><Relationship Id="rId12" Type="http://schemas.openxmlformats.org/officeDocument/2006/relationships/hyperlink" Target="https://login.consultant.ru/link/?req=doc&amp;base=LAW&amp;n=418190&amp;date=21.06.2023&amp;dst=100615&amp;field=134" TargetMode="External"/><Relationship Id="rId17" Type="http://schemas.openxmlformats.org/officeDocument/2006/relationships/hyperlink" Target="https://login.consultant.ru/link/?req=doc&amp;base=LAW&amp;n=405174&amp;date=21.06.2023&amp;dst=100106&amp;field=134" TargetMode="External"/><Relationship Id="rId25" Type="http://schemas.openxmlformats.org/officeDocument/2006/relationships/hyperlink" Target="https://login.consultant.ru/link/?req=doc&amp;base=LAW&amp;n=449426&amp;date=21.06.2023" TargetMode="External"/><Relationship Id="rId33" Type="http://schemas.openxmlformats.org/officeDocument/2006/relationships/hyperlink" Target="https://login.consultant.ru/link/?req=doc&amp;base=LAW&amp;n=449555&amp;date=21.06.2023&amp;dst=2754&amp;field=134" TargetMode="External"/><Relationship Id="rId38" Type="http://schemas.openxmlformats.org/officeDocument/2006/relationships/hyperlink" Target="https://login.consultant.ru/link/?req=doc&amp;base=LAW&amp;n=449555&amp;date=21.06.2023&amp;dst=100754&amp;field=13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188&amp;date=21.06.2023&amp;dst=100010&amp;field=134" TargetMode="External"/><Relationship Id="rId20" Type="http://schemas.openxmlformats.org/officeDocument/2006/relationships/hyperlink" Target="https://login.consultant.ru/link/?req=doc&amp;base=LAW&amp;n=449555&amp;date=21.06.2023&amp;dst=2527&amp;field=134" TargetMode="External"/><Relationship Id="rId29" Type="http://schemas.openxmlformats.org/officeDocument/2006/relationships/hyperlink" Target="https://login.consultant.ru/link/?req=doc&amp;base=LAW&amp;n=435844&amp;date=21.06.2023&amp;dst=100120&amp;field=134" TargetMode="External"/><Relationship Id="rId41" Type="http://schemas.openxmlformats.org/officeDocument/2006/relationships/hyperlink" Target="https://login.consultant.ru/link/?req=doc&amp;base=LAW&amp;n=449555&amp;date=21.06.2023&amp;dst=2801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5844&amp;date=21.06.2023" TargetMode="External"/><Relationship Id="rId11" Type="http://schemas.openxmlformats.org/officeDocument/2006/relationships/hyperlink" Target="https://login.consultant.ru/link/?req=doc&amp;base=LAW&amp;n=418190&amp;date=21.06.2023&amp;dst=100162&amp;field=134" TargetMode="External"/><Relationship Id="rId24" Type="http://schemas.openxmlformats.org/officeDocument/2006/relationships/hyperlink" Target="https://login.consultant.ru/link/?req=doc&amp;base=LAW&amp;n=449440&amp;date=21.06.2023" TargetMode="External"/><Relationship Id="rId32" Type="http://schemas.openxmlformats.org/officeDocument/2006/relationships/hyperlink" Target="https://login.consultant.ru/link/?req=doc&amp;base=LAW&amp;n=449555&amp;date=21.06.2023&amp;dst=2670&amp;field=134" TargetMode="External"/><Relationship Id="rId37" Type="http://schemas.openxmlformats.org/officeDocument/2006/relationships/hyperlink" Target="https://login.consultant.ru/link/?req=doc&amp;base=LAW&amp;n=449555&amp;date=21.06.2023&amp;dst=100687&amp;field=134" TargetMode="External"/><Relationship Id="rId40" Type="http://schemas.openxmlformats.org/officeDocument/2006/relationships/hyperlink" Target="https://login.consultant.ru/link/?req=doc&amp;base=LAW&amp;n=449555&amp;date=21.06.2023&amp;dst=2636&amp;field=13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555&amp;date=21.06.2023" TargetMode="External"/><Relationship Id="rId15" Type="http://schemas.openxmlformats.org/officeDocument/2006/relationships/hyperlink" Target="https://login.consultant.ru/link/?req=doc&amp;base=LAW&amp;n=403334&amp;date=21.06.2023&amp;dst=100052&amp;field=134" TargetMode="External"/><Relationship Id="rId23" Type="http://schemas.openxmlformats.org/officeDocument/2006/relationships/hyperlink" Target="https://login.consultant.ru/link/?req=doc&amp;base=LAW&amp;n=449555&amp;date=21.06.2023" TargetMode="External"/><Relationship Id="rId28" Type="http://schemas.openxmlformats.org/officeDocument/2006/relationships/hyperlink" Target="https://login.consultant.ru/link/?req=doc&amp;base=LAW&amp;n=449555&amp;date=21.06.2023&amp;dst=2734&amp;field=134" TargetMode="External"/><Relationship Id="rId36" Type="http://schemas.openxmlformats.org/officeDocument/2006/relationships/hyperlink" Target="https://login.consultant.ru/link/?req=doc&amp;base=LAW&amp;n=449555&amp;date=21.06.2023&amp;dst=100679&amp;field=134" TargetMode="External"/><Relationship Id="rId10" Type="http://schemas.openxmlformats.org/officeDocument/2006/relationships/hyperlink" Target="https://login.consultant.ru/link/?req=doc&amp;base=LAW&amp;n=418190&amp;date=21.06.2023&amp;dst=100018&amp;field=134" TargetMode="External"/><Relationship Id="rId19" Type="http://schemas.openxmlformats.org/officeDocument/2006/relationships/hyperlink" Target="https://login.consultant.ru/link/?req=doc&amp;base=LAW&amp;n=449555&amp;date=21.06.2023&amp;dst=2526&amp;field=134" TargetMode="External"/><Relationship Id="rId31" Type="http://schemas.openxmlformats.org/officeDocument/2006/relationships/hyperlink" Target="https://login.consultant.ru/link/?req=doc&amp;base=LAW&amp;n=449555&amp;date=21.06.2023&amp;dst=2770&amp;field=134" TargetMode="External"/><Relationship Id="rId44" Type="http://schemas.openxmlformats.org/officeDocument/2006/relationships/hyperlink" Target="https://login.consultant.ru/link/?req=doc&amp;base=LAW&amp;n=449555&amp;date=21.06.2023&amp;dst=266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016&amp;date=21.06.2023&amp;dst=100009&amp;field=134" TargetMode="External"/><Relationship Id="rId14" Type="http://schemas.openxmlformats.org/officeDocument/2006/relationships/hyperlink" Target="https://login.consultant.ru/link/?req=doc&amp;base=LAW&amp;n=403334&amp;date=21.06.2023&amp;dst=100012&amp;field=134" TargetMode="External"/><Relationship Id="rId22" Type="http://schemas.openxmlformats.org/officeDocument/2006/relationships/hyperlink" Target="https://login.consultant.ru/link/?req=doc&amp;base=LAW&amp;n=449555&amp;date=21.06.2023&amp;dst=2540&amp;field=134" TargetMode="External"/><Relationship Id="rId27" Type="http://schemas.openxmlformats.org/officeDocument/2006/relationships/hyperlink" Target="https://login.consultant.ru/link/?req=doc&amp;base=LAW&amp;n=449555&amp;date=21.06.2023&amp;dst=102666&amp;field=134" TargetMode="External"/><Relationship Id="rId30" Type="http://schemas.openxmlformats.org/officeDocument/2006/relationships/hyperlink" Target="https://login.consultant.ru/link/?req=doc&amp;base=LAW&amp;n=405174&amp;date=21.06.2023&amp;dst=100024&amp;field=134" TargetMode="External"/><Relationship Id="rId35" Type="http://schemas.openxmlformats.org/officeDocument/2006/relationships/hyperlink" Target="https://login.consultant.ru/link/?req=doc&amp;base=LAW&amp;n=449555&amp;date=21.06.2023&amp;dst=100677&amp;field=134" TargetMode="External"/><Relationship Id="rId43" Type="http://schemas.openxmlformats.org/officeDocument/2006/relationships/hyperlink" Target="https://login.consultant.ru/link/?req=doc&amp;base=LAW&amp;n=449555&amp;date=21.06.2023&amp;dst=28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2023-06-21T09:39:00Z</cp:lastPrinted>
  <dcterms:created xsi:type="dcterms:W3CDTF">2023-06-20T07:51:00Z</dcterms:created>
  <dcterms:modified xsi:type="dcterms:W3CDTF">2023-06-21T09:40:00Z</dcterms:modified>
</cp:coreProperties>
</file>